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Found on an 1818 Importation of Slave Record are the following enslaved people imported into the State of Georgia by son George Walker III for his father George Walker II: (attach  photo) link: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William, a fellow twenty years old, black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Isaac, a boy sixteen years old, yellow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Isom, a boy twelve years old, black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Sudan, a woman, twenty three years old, black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https://www.familysearch.org/ark:/61903/3:1:3Q9M-C3H3-4WD6?i=6&amp;cat=302579</w:t>
        </w:r>
      </w:hyperlink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360.0" w:type="dxa"/>
        <w:jc w:val="left"/>
        <w:tblInd w:w="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840" w:hRule="atLeast"/>
        </w:trPr>
        <w:tc>
          <w:tcPr>
            <w:tcMar>
              <w:top w:w="80.0" w:type="dxa"/>
              <w:left w:w="0.0" w:type="dxa"/>
              <w:bottom w:w="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20" w:lineRule="auto"/>
              <w:rPr>
                <w:rFonts w:ascii="Verdana" w:cs="Verdana" w:eastAsia="Verdana" w:hAnsi="Verdana"/>
                <w:color w:val="333331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1"/>
                <w:sz w:val="21"/>
                <w:szCs w:val="21"/>
                <w:rtl w:val="0"/>
              </w:rPr>
              <w:t xml:space="preserve">Importation of slaves 1818-1865, and, Illegitimate records 1841-1875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milysearch.org/ark:/61903/3:1:3Q9M-C3H3-4WD6?i=6&amp;cat=302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